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AA411" w14:textId="2B6FA2D2" w:rsidR="003350FA" w:rsidRDefault="00C6731E" w:rsidP="00C6731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6C7EBA5F" w14:textId="0054F4A8" w:rsidR="00C6731E" w:rsidRDefault="00C6731E" w:rsidP="00C6731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wynagrodzenia wójta należy do wyłącznej właściwości rady gminy (art. 18 ust. 2 pkt 2 ustawy o samorządzie gminnym).</w:t>
      </w:r>
    </w:p>
    <w:p w14:paraId="1D5C2804" w14:textId="14681ADF" w:rsidR="00C6731E" w:rsidRDefault="00C6731E" w:rsidP="00C6731E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36 ust. 2, 3 i 4 ustawy o pracownikach samorządowych na wynagrodzenie miesięczne wójta składają się: wynagrodzenie zasadnicze, dodatek specjalny, dodatek funkcyjny i dodatek za wieloletnią pracę. Maksymalny poziom wynagrodzenia zasadniczego, maksymalny poziom dodatku funkcyjnego oraz wysokość dodatku specjalnego określają przepisy rozporządzenia Rady Ministrów z dnia 25 października 2021r. w sprawie wynagradzania pracowników samorządowych. Wysokość poszczególnych składników wynagrodzenia określona w </w:t>
      </w:r>
      <w:r w:rsidRPr="00C6731E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 xml:space="preserve"> 1 ust. 1 uchwały mieści się w limitach wynikających z przepisów rozporządzenia.</w:t>
      </w:r>
    </w:p>
    <w:p w14:paraId="4F6E49EC" w14:textId="5342F0E7" w:rsidR="00C6731E" w:rsidRDefault="00C6731E" w:rsidP="00C6731E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Wysokość dodatku za wieloletnią pracę określa art. 38 ust. 1 ustawy o pracownikach samorządowych. Ponadto wójtowi należna jest nagroda jubileuszowa oraz inne składniki wynagrodzenia, zgodnie z powszechnie obowiązującymi przepisami.</w:t>
      </w:r>
    </w:p>
    <w:p w14:paraId="7B79104E" w14:textId="4FBF1446" w:rsidR="000A52F6" w:rsidRPr="00C6731E" w:rsidRDefault="000A52F6" w:rsidP="00C6731E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Zgodnie z art. 37 ust. 3 ustawy o pracownikach samorządowych maksymalne wynagrodzenie osób, o których mowa w art. 4 ust. 1 pkt 1, nie może przekroczyć w okresie miesiąca 11,2-krotności kwoty bazowej określanej w ustawie budżetowej dla osób zajmujących kierownicze stanowiska państwowe na podstawie przepisów ustawy z dnia 23 grudnia 1999r. o kształtowaniu wynagrodzeń w państwowej sferze budżetowej oraz zmianie niektórych ustaw (Dz.U. 202r. poz. 1658). Natomiast zgodnie z art. 37 ust. 4 minimalne wynagrodzenie osób, o których mowa w art. 4 ust. 1 pkt 1, nie może być niższe niż 80% maksymalnego wynagrodzenia określonego dla poszczególnych stanowisk w przepisach wydanych na podstawie ust. 1. Maksymalne wynagrodzenie na danym stanowisku stanowi suma maksymalnego poziomu wynagrodzenia zasadniczego oraz maksymalnego poziomu dodatku funkcyjnego, a w przypadku osoby, o której mowa w art. 36 ust. 3, także kwoty dodatku specjalnego.</w:t>
      </w:r>
    </w:p>
    <w:sectPr w:rsidR="000A52F6" w:rsidRPr="00C67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03"/>
    <w:rsid w:val="000A52F6"/>
    <w:rsid w:val="003350FA"/>
    <w:rsid w:val="003A0E4B"/>
    <w:rsid w:val="00B25C03"/>
    <w:rsid w:val="00C6731E"/>
    <w:rsid w:val="00FE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BECB"/>
  <w15:chartTrackingRefBased/>
  <w15:docId w15:val="{0000F830-F198-4B9F-98F3-094146F5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73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Kłosińska</dc:creator>
  <cp:keywords/>
  <dc:description/>
  <cp:lastModifiedBy>Anna Kłudka-Radecka</cp:lastModifiedBy>
  <cp:revision>4</cp:revision>
  <dcterms:created xsi:type="dcterms:W3CDTF">2024-05-17T10:36:00Z</dcterms:created>
  <dcterms:modified xsi:type="dcterms:W3CDTF">2024-10-21T12:13:00Z</dcterms:modified>
</cp:coreProperties>
</file>