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  <w:i/>
          <w:iCs/>
          <w:sz w:val="26"/>
          <w:szCs w:val="26"/>
        </w:rPr>
        <w:t>Plan pracy  Komisji Budżetu, Rolnictwa i Rozwoju Gospodarczego w 2026r.</w:t>
      </w:r>
    </w:p>
    <w:p>
      <w:pPr>
        <w:pStyle w:val="Normal"/>
        <w:rPr/>
      </w:pPr>
      <w:r>
        <w:rPr/>
      </w:r>
    </w:p>
    <w:p>
      <w:pPr>
        <w:pStyle w:val="Heading4"/>
        <w:spacing w:before="0" w:after="160"/>
        <w:rPr>
          <w:rFonts w:eastAsia="Calibri" w:cstheme="minorBidi" w:eastAsiaTheme="minorHAnsi"/>
          <w:color w:val="auto"/>
          <w14:ligatures w14:val="standardContextual"/>
        </w:rPr>
      </w:pPr>
      <w:r>
        <w:rPr>
          <w:rStyle w:val="Strong"/>
          <w:rFonts w:eastAsia="Calibri" w:cstheme="minorBidi" w:eastAsiaTheme="minorHAnsi"/>
          <w:color w:val="auto"/>
          <w14:ligatures w14:val="standardContextual"/>
        </w:rPr>
        <w:t>I kwartał 2026 r. (styczeń–marzec)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78" w:before="0" w:after="160"/>
        <w:ind w:hanging="283" w:left="709"/>
        <w:rPr/>
      </w:pPr>
      <w:r>
        <w:rPr/>
        <w:t>Przygotowanie sprawozdania z pracy Komisji za rok 2025.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78" w:before="0" w:after="160"/>
        <w:ind w:hanging="283" w:left="709"/>
        <w:rPr/>
      </w:pPr>
      <w:r>
        <w:rPr/>
        <w:t>Analiza kosztów funkcjonowania gminnego żłobka w Starym Cykarzewie za rok 2025.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78" w:before="0" w:after="160"/>
        <w:ind w:hanging="283" w:left="709"/>
        <w:rPr/>
      </w:pPr>
      <w:r>
        <w:rPr/>
        <w:t>Analiza materiałów na bieżące sesje Rady Gminy.</w:t>
      </w:r>
    </w:p>
    <w:p>
      <w:pPr>
        <w:pStyle w:val="BodyText"/>
        <w:numPr>
          <w:ilvl w:val="0"/>
          <w:numId w:val="0"/>
        </w:numPr>
        <w:spacing w:lineRule="auto" w:line="278" w:before="0" w:after="160"/>
        <w:ind w:hanging="0" w:left="0"/>
        <w:rPr/>
      </w:pPr>
      <w:r>
        <w:rPr/>
      </w:r>
    </w:p>
    <w:p>
      <w:pPr>
        <w:pStyle w:val="Heading4"/>
        <w:spacing w:before="0" w:after="160"/>
        <w:rPr/>
      </w:pPr>
      <w:r>
        <w:rPr>
          <w:rStyle w:val="Strong"/>
          <w:rFonts w:eastAsia="Calibri" w:cstheme="minorBidi" w:eastAsiaTheme="minorHAnsi"/>
          <w:color w:val="auto"/>
          <w14:ligatures w14:val="standardContextual"/>
        </w:rPr>
        <w:t>II kwartał 2026 r. (kwiecień–czerwiec)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8" w:before="0" w:after="160"/>
        <w:ind w:hanging="283" w:left="709"/>
        <w:rPr/>
      </w:pPr>
      <w:r>
        <w:rPr/>
        <w:t>Analiza i zaopiniowanie sprawozdania z wykonania budżetu Gminy za rok 2025.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8" w:before="0" w:after="160"/>
        <w:ind w:hanging="283" w:left="709"/>
        <w:rPr/>
      </w:pPr>
      <w:r>
        <w:rPr/>
        <w:t>Zapoznanie się z informacją dotyczącą form i wysokości pozyskanych środków na inwestycje gminne ze źródeł zewnętrznych.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8" w:before="0" w:after="160"/>
        <w:ind w:hanging="283" w:left="709"/>
        <w:rPr/>
      </w:pPr>
      <w:r>
        <w:rPr/>
        <w:t>Analiza materiałów na bieżące sesje Rady Gminy.</w:t>
      </w:r>
    </w:p>
    <w:p>
      <w:pPr>
        <w:pStyle w:val="BodyText"/>
        <w:numPr>
          <w:ilvl w:val="0"/>
          <w:numId w:val="0"/>
        </w:numPr>
        <w:spacing w:lineRule="auto" w:line="278" w:before="0" w:after="160"/>
        <w:ind w:hanging="0" w:left="0"/>
        <w:rPr/>
      </w:pPr>
      <w:r>
        <w:rPr/>
      </w:r>
    </w:p>
    <w:p>
      <w:pPr>
        <w:pStyle w:val="Heading4"/>
        <w:spacing w:before="0" w:after="160"/>
        <w:rPr/>
      </w:pPr>
      <w:r>
        <w:rPr>
          <w:rStyle w:val="Strong"/>
          <w:rFonts w:eastAsia="Calibri" w:cstheme="minorBidi" w:eastAsiaTheme="minorHAnsi"/>
          <w:color w:val="auto"/>
          <w14:ligatures w14:val="standardContextual"/>
        </w:rPr>
        <w:t>III kwartał 2026 r. (lipiec–wrzesień</w:t>
      </w:r>
      <w:r>
        <w:rPr>
          <w:rStyle w:val="Strong"/>
          <w:rFonts w:eastAsia="Calibri" w:cstheme="minorBidi" w:eastAsiaTheme="minorHAnsi"/>
          <w:color w:val="auto"/>
          <w14:ligatures w14:val="standardContextual"/>
        </w:rPr>
        <w:t>)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78" w:before="0" w:after="160"/>
        <w:ind w:hanging="283" w:left="709"/>
        <w:rPr/>
      </w:pPr>
      <w:r>
        <w:rPr/>
        <w:t>Informacja o stanie realizacji zadań finansowanych z funduszy sołeckich w poszczególnych sołectwach.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78" w:before="0" w:after="160"/>
        <w:ind w:hanging="283" w:left="709"/>
        <w:rPr/>
      </w:pPr>
      <w:r>
        <w:rPr/>
        <w:t>Analiza i opiniowanie stawek podatkowych oraz innych opłat lokalnych na rok 2027.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78" w:before="0" w:after="160"/>
        <w:ind w:hanging="283" w:left="709"/>
        <w:rPr/>
      </w:pPr>
      <w:r>
        <w:rPr/>
        <w:t>Analiza materiałów na bieżące sesje Rady Gminy.</w:t>
      </w:r>
    </w:p>
    <w:p>
      <w:pPr>
        <w:pStyle w:val="BodyText"/>
        <w:numPr>
          <w:ilvl w:val="0"/>
          <w:numId w:val="0"/>
        </w:numPr>
        <w:spacing w:lineRule="auto" w:line="278" w:before="0" w:after="160"/>
        <w:ind w:hanging="0" w:left="0"/>
        <w:rPr/>
      </w:pPr>
      <w:r>
        <w:rPr/>
      </w:r>
    </w:p>
    <w:p>
      <w:pPr>
        <w:pStyle w:val="Heading4"/>
        <w:spacing w:before="0" w:after="160"/>
        <w:rPr/>
      </w:pPr>
      <w:r>
        <w:rPr>
          <w:rStyle w:val="Strong"/>
          <w:rFonts w:eastAsia="Calibri" w:cstheme="minorBidi" w:eastAsiaTheme="minorHAnsi"/>
          <w:color w:val="auto"/>
          <w14:ligatures w14:val="standardContextual"/>
        </w:rPr>
        <w:t>IV kwartał 2026 r. (październik–grudzień)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8" w:before="0" w:after="160"/>
        <w:ind w:hanging="283" w:left="709"/>
        <w:rPr/>
      </w:pPr>
      <w:r>
        <w:rPr/>
        <w:t xml:space="preserve">Analiza i opiniowanie projektu budżetu Gminy na  </w:t>
      </w:r>
      <w:r>
        <w:rPr/>
        <w:t xml:space="preserve">rok </w:t>
      </w:r>
      <w:r>
        <w:rPr/>
        <w:t>2027 oraz projektu Wieloletniej Prognozy Finansowej.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8" w:before="0" w:after="160"/>
        <w:ind w:hanging="283" w:left="709"/>
        <w:rPr/>
      </w:pPr>
      <w:r>
        <w:rPr/>
        <w:t>Opracowanie planu pracy Komisji na 2027 rok.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8" w:before="0" w:after="160"/>
        <w:ind w:hanging="283" w:left="709"/>
        <w:rPr/>
      </w:pPr>
      <w:r>
        <w:rPr/>
        <w:t>Analiza materiałów na bieżące sesje Rady Gminy.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8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cc2570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cc2570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cc257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cc257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cc257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cc257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cc257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cc257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cc257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cc2570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cc2570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cc2570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cc2570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cc2570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cc2570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cc2570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cc2570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cc2570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cc2570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cc2570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cc257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c2570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cc2570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cc2570"/>
    <w:rPr>
      <w:b/>
      <w:bCs/>
      <w:smallCaps/>
      <w:color w:themeColor="accent1" w:themeShade="bf" w:val="2F5496"/>
      <w:spacing w:val="5"/>
    </w:rPr>
  </w:style>
  <w:style w:type="character" w:styleId="Strong">
    <w:name w:val="Strong"/>
    <w:qFormat/>
    <w:rPr>
      <w:b/>
      <w:bCs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cc2570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cc2570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cc2570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cc2570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cc2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Liniapozioma">
    <w:name w:val="Linia poziom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LibreOffice/25.2.5.2$Windows_X86_64 LibreOffice_project/03d19516eb2e1dd5d4ccd751a0d6f35f35e08022</Application>
  <AppVersion>15.0000</AppVersion>
  <Pages>1</Pages>
  <Words>165</Words>
  <Characters>957</Characters>
  <CharactersWithSpaces>1091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2025-01-16T06:15:00Z</dcterms:created>
  <dc:creator>Izabela Redestowicz</dc:creator>
  <dc:description/>
  <dc:language>pl-PL</dc:language>
  <cp:lastModifiedBy/>
  <cp:lastPrinted>2025-12-03T22:22:43Z</cp:lastPrinted>
  <dcterms:modified xsi:type="dcterms:W3CDTF">2025-12-03T22:23:55Z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